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body>
    <w:p w14:paraId="0187771E" w14:textId="77777777" w:rsidP="008F5499" w:rsidR="008F5499" w:rsidRDefault="008F5499">
      <w:pPr>
        <w:pStyle w:val="PlainText"/>
        <w:rPr>
          <w:rFonts w:ascii="Arial" w:cs="Arial" w:hAnsi="Arial"/>
        </w:rPr>
      </w:pPr>
      <w:r>
        <w:rPr>
          <w:noProof/>
          <w:lang w:eastAsia="en-AU"/>
        </w:rPr>
        <w:drawing>
          <wp:inline distB="0" distL="0" distR="0" distT="0" wp14:anchorId="10E9AEE0" wp14:editId="6FE67D8C">
            <wp:extent cx="5731510" cy="904875"/>
            <wp:effectExtent b="9525" l="0" r="2540" t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 noChangeAspect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16A87" w14:textId="77777777" w:rsidP="008F5499" w:rsidR="008F5499" w:rsidRDefault="008F5499">
      <w:pPr>
        <w:rPr>
          <w:color w:val="000000"/>
        </w:rPr>
      </w:pPr>
    </w:p>
    <w:tbl>
      <w:tblPr>
        <w:tblW w:type="auto" w:w="0"/>
        <w:shd w:color="auto" w:fill="C6D9F1" w:val="clear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9026"/>
      </w:tblGrid>
      <w:tr w14:paraId="4780B0BE" w14:textId="77777777" w:rsidR="008F5499" w:rsidTr="008F5499">
        <w:trPr>
          <w:trHeight w:val="1207"/>
        </w:trPr>
        <w:tc>
          <w:tcPr>
            <w:tcW w:type="dxa" w:w="11676"/>
            <w:shd w:color="auto"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909276" w14:textId="77777777" w:rsidR="008F5499" w:rsidRDefault="008F5499">
            <w:pPr>
              <w:pStyle w:val="PlainText"/>
              <w:rPr>
                <w:rFonts w:ascii="Arial" w:cs="Arial" w:hAnsi="Arial"/>
              </w:rPr>
            </w:pPr>
          </w:p>
          <w:p w14:paraId="514FA0DE" w14:textId="77777777" w:rsidR="008F5499" w:rsidRDefault="008F5499">
            <w:r>
              <w:rPr>
                <w:color w:val="000000"/>
              </w:rPr>
              <w:t>Dear Finance User,</w:t>
            </w:r>
          </w:p>
          <w:p w14:paraId="76DB42FB" w14:textId="77777777" w:rsidR="008F5499" w:rsidRDefault="008F5499">
            <w:pPr>
              <w:rPr>
                <w:color w:val="1F497D"/>
              </w:rPr>
            </w:pPr>
          </w:p>
          <w:p w14:paraId="54A58B52" w14:textId="2B7A3D9B" w:rsidR="008F5499" w:rsidRDefault="008F5499">
            <w:r>
              <w:rPr>
                <w:color w:val="000000"/>
              </w:rPr>
              <w:t xml:space="preserve">As we get closer to </w:t>
            </w:r>
            <w:r w:rsidR="00985298">
              <w:rPr>
                <w:color w:val="000000"/>
              </w:rPr>
              <w:t xml:space="preserve">31 December </w:t>
            </w:r>
            <w:r w:rsidR="00F1598E">
              <w:rPr>
                <w:color w:val="000000"/>
              </w:rPr>
              <w:t>20</w:t>
            </w:r>
            <w:r w:rsidR="00D35713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we would like to draw your attention to the key dates in relation to the End of Year processing. </w:t>
            </w:r>
          </w:p>
          <w:p w14:paraId="6DDEB79B" w14:textId="77777777" w:rsidR="008F5499" w:rsidRDefault="008F5499">
            <w:pPr>
              <w:rPr>
                <w:color w:val="1F497D"/>
              </w:rPr>
            </w:pPr>
          </w:p>
          <w:p w14:paraId="1436A7F4" w14:textId="3FFEF3C7" w:rsidR="008F5499" w:rsidRDefault="008F549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Invoices in Basware</w:t>
            </w:r>
          </w:p>
          <w:p w14:paraId="0FD5EBD3" w14:textId="37FD4364" w:rsidP="004601E4" w:rsidR="008F5499" w:rsidRDefault="009118DA">
            <w:r>
              <w:t xml:space="preserve">Invoices in Basware need to be both coded &amp; approved by </w:t>
            </w:r>
            <w:r w:rsidRPr="00607935">
              <w:rPr>
                <w:b/>
                <w:bCs/>
              </w:rPr>
              <w:t>4:00pm</w:t>
            </w:r>
            <w:r w:rsidR="004601E4" w:rsidRPr="00607935">
              <w:rPr>
                <w:b/>
                <w:bCs/>
              </w:rPr>
              <w:t xml:space="preserve"> </w:t>
            </w:r>
            <w:r w:rsidRPr="00607935">
              <w:rPr>
                <w:b/>
                <w:bCs/>
              </w:rPr>
              <w:t>16</w:t>
            </w:r>
            <w:r w:rsidRPr="00607935">
              <w:rPr>
                <w:b/>
                <w:bCs/>
                <w:vertAlign w:val="superscript"/>
              </w:rPr>
              <w:t>th</w:t>
            </w:r>
            <w:r w:rsidRPr="00607935">
              <w:rPr>
                <w:b/>
                <w:bCs/>
              </w:rPr>
              <w:t xml:space="preserve"> </w:t>
            </w:r>
            <w:r w:rsidR="00521CA3" w:rsidRPr="0005731C">
              <w:rPr>
                <w:b/>
                <w:bCs/>
                <w:color w:val="000000"/>
              </w:rPr>
              <w:t>Dec</w:t>
            </w:r>
            <w:r w:rsidR="00521CA3">
              <w:rPr>
                <w:b/>
                <w:bCs/>
                <w:color w:val="000000"/>
              </w:rPr>
              <w:t>ember</w:t>
            </w:r>
            <w:r w:rsidR="00521CA3" w:rsidRPr="0005731C">
              <w:rPr>
                <w:b/>
                <w:bCs/>
                <w:color w:val="000000"/>
              </w:rPr>
              <w:t xml:space="preserve"> </w:t>
            </w:r>
            <w:r w:rsidRPr="009118DA">
              <w:t>to make final creditor payment run for the year</w:t>
            </w:r>
            <w:r w:rsidR="004601E4">
              <w:t>.</w:t>
            </w:r>
          </w:p>
          <w:p w14:paraId="3EE3053E" w14:textId="77777777" w:rsidP="00607935" w:rsidR="004601E4" w:rsidRDefault="004601E4" w:rsidRPr="009118DA"/>
          <w:p w14:paraId="09AB020C" w14:textId="0324FDB8" w:rsidP="00607935" w:rsidR="009118DA" w:rsidRDefault="004601E4" w:rsidRPr="009118DA">
            <w:pPr>
              <w:pStyle w:val="ListParagraph"/>
              <w:ind w:left="0"/>
            </w:pPr>
            <w:r>
              <w:t xml:space="preserve">If this is not achieved, they need to be both coded &amp; approved by </w:t>
            </w:r>
            <w:r w:rsidRPr="00607935">
              <w:rPr>
                <w:b/>
                <w:bCs/>
              </w:rPr>
              <w:t>4:00</w:t>
            </w:r>
            <w:r>
              <w:rPr>
                <w:b/>
                <w:bCs/>
              </w:rPr>
              <w:t>pm</w:t>
            </w:r>
            <w:r w:rsidRPr="00607935">
              <w:rPr>
                <w:b/>
                <w:bCs/>
              </w:rPr>
              <w:t xml:space="preserve"> </w:t>
            </w:r>
            <w:r w:rsidR="009118DA" w:rsidRPr="00607935">
              <w:rPr>
                <w:b/>
                <w:bCs/>
              </w:rPr>
              <w:t>22</w:t>
            </w:r>
            <w:r w:rsidR="009118DA" w:rsidRPr="00607935">
              <w:rPr>
                <w:b/>
                <w:bCs/>
                <w:vertAlign w:val="superscript"/>
              </w:rPr>
              <w:t>nd</w:t>
            </w:r>
            <w:r w:rsidR="009118DA" w:rsidRPr="00607935">
              <w:rPr>
                <w:b/>
                <w:bCs/>
              </w:rPr>
              <w:t xml:space="preserve"> </w:t>
            </w:r>
            <w:r w:rsidR="00521CA3" w:rsidRPr="0005731C">
              <w:rPr>
                <w:b/>
                <w:bCs/>
                <w:color w:val="000000"/>
              </w:rPr>
              <w:t>Dec</w:t>
            </w:r>
            <w:r w:rsidR="00521CA3">
              <w:rPr>
                <w:b/>
                <w:bCs/>
                <w:color w:val="000000"/>
              </w:rPr>
              <w:t>ember</w:t>
            </w:r>
            <w:r w:rsidR="00521CA3" w:rsidRPr="0005731C">
              <w:rPr>
                <w:b/>
                <w:bCs/>
                <w:color w:val="000000"/>
              </w:rPr>
              <w:t xml:space="preserve"> </w:t>
            </w:r>
            <w:r w:rsidR="009118DA" w:rsidRPr="009118DA">
              <w:t>to ensure they are posted into the ledger for 2020 year</w:t>
            </w:r>
            <w:r>
              <w:t xml:space="preserve"> (but will not be paid until January 2021).</w:t>
            </w:r>
          </w:p>
          <w:p w14:paraId="2C530049" w14:textId="77777777" w:rsidR="009118DA" w:rsidRDefault="009118DA">
            <w:pPr>
              <w:rPr>
                <w:color w:val="000000"/>
              </w:rPr>
            </w:pPr>
          </w:p>
          <w:p w14:paraId="0DA80181" w14:textId="3D2635D7" w:rsidR="00972443" w:rsidRDefault="008F5499">
            <w:pPr>
              <w:rPr>
                <w:color w:val="000000"/>
              </w:rPr>
            </w:pPr>
            <w:r>
              <w:rPr>
                <w:color w:val="000000"/>
              </w:rPr>
              <w:t xml:space="preserve">Invoices coded and approved by </w:t>
            </w:r>
            <w:r w:rsidRPr="00607935">
              <w:rPr>
                <w:b/>
                <w:bCs/>
                <w:color w:val="000000"/>
              </w:rPr>
              <w:t>4.</w:t>
            </w:r>
            <w:r w:rsidR="00D35713" w:rsidRPr="00607935">
              <w:rPr>
                <w:b/>
                <w:bCs/>
                <w:color w:val="000000"/>
              </w:rPr>
              <w:t>0</w:t>
            </w:r>
            <w:r w:rsidRPr="00607935">
              <w:rPr>
                <w:b/>
                <w:bCs/>
                <w:color w:val="000000"/>
              </w:rPr>
              <w:t xml:space="preserve">0pm </w:t>
            </w:r>
            <w:r w:rsidR="00D35713" w:rsidRPr="00607935">
              <w:rPr>
                <w:b/>
                <w:bCs/>
                <w:color w:val="000000"/>
              </w:rPr>
              <w:t>4th</w:t>
            </w:r>
            <w:r w:rsidRPr="00607935">
              <w:rPr>
                <w:b/>
                <w:bCs/>
                <w:color w:val="000000"/>
              </w:rPr>
              <w:t xml:space="preserve"> Jan</w:t>
            </w:r>
            <w:r w:rsidR="00521CA3">
              <w:rPr>
                <w:b/>
                <w:bCs/>
                <w:color w:val="000000"/>
              </w:rPr>
              <w:t>uary</w:t>
            </w:r>
            <w:r w:rsidRPr="00607935">
              <w:rPr>
                <w:b/>
                <w:bCs/>
                <w:color w:val="000000"/>
              </w:rPr>
              <w:t xml:space="preserve"> 202</w:t>
            </w:r>
            <w:r w:rsidR="00D35713" w:rsidRPr="00607935">
              <w:rPr>
                <w:b/>
                <w:bCs/>
                <w:color w:val="000000"/>
              </w:rPr>
              <w:t>1</w:t>
            </w:r>
            <w:r>
              <w:rPr>
                <w:color w:val="000000"/>
              </w:rPr>
              <w:t xml:space="preserve"> relating to 20</w:t>
            </w:r>
            <w:r w:rsidR="00D35713">
              <w:rPr>
                <w:color w:val="000000"/>
              </w:rPr>
              <w:t>20</w:t>
            </w:r>
            <w:r>
              <w:rPr>
                <w:color w:val="000000"/>
              </w:rPr>
              <w:t>, will be accrued at a cost centre/project level</w:t>
            </w:r>
            <w:r w:rsidR="00415FDD">
              <w:rPr>
                <w:color w:val="000000"/>
              </w:rPr>
              <w:t xml:space="preserve"> irrespective of when they are paid.</w:t>
            </w:r>
            <w:r>
              <w:rPr>
                <w:color w:val="000000"/>
              </w:rPr>
              <w:t xml:space="preserve"> </w:t>
            </w:r>
          </w:p>
          <w:p w14:paraId="377E6D2F" w14:textId="77777777" w:rsidR="00972443" w:rsidRDefault="00972443">
            <w:pPr>
              <w:rPr>
                <w:color w:val="000000"/>
              </w:rPr>
            </w:pPr>
          </w:p>
          <w:p w14:paraId="3F9E3E3D" w14:textId="642C64D1" w:rsidR="008F5499" w:rsidRDefault="00415FDD">
            <w:r>
              <w:rPr>
                <w:color w:val="000000"/>
              </w:rPr>
              <w:t xml:space="preserve">Invoices coded but not approved will </w:t>
            </w:r>
            <w:r w:rsidRPr="00415FDD">
              <w:rPr>
                <w:color w:val="000000"/>
                <w:u w:val="single"/>
              </w:rPr>
              <w:t>not</w:t>
            </w:r>
            <w:r>
              <w:rPr>
                <w:color w:val="000000"/>
              </w:rPr>
              <w:t xml:space="preserve"> be automatically accrued and </w:t>
            </w:r>
            <w:r w:rsidR="004601E4">
              <w:rPr>
                <w:color w:val="000000"/>
              </w:rPr>
              <w:t xml:space="preserve">will </w:t>
            </w:r>
            <w:r>
              <w:rPr>
                <w:color w:val="000000"/>
              </w:rPr>
              <w:t>need to be identified separately.</w:t>
            </w:r>
          </w:p>
          <w:p w14:paraId="404C93F4" w14:textId="77777777" w:rsidR="008F5499" w:rsidRDefault="008F5499"/>
          <w:p w14:paraId="54D4DBE5" w14:textId="77777777" w:rsidR="008F5499" w:rsidRDefault="008F549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Credit Cards in Fraedom</w:t>
            </w:r>
          </w:p>
          <w:p w14:paraId="0504BB62" w14:textId="77777777" w:rsidR="008F5499" w:rsidRDefault="008F5499">
            <w:pPr>
              <w:rPr>
                <w:b/>
                <w:bCs/>
              </w:rPr>
            </w:pPr>
          </w:p>
          <w:p w14:paraId="21955441" w14:textId="511C9511" w:rsidR="008F5499" w:rsidRDefault="008F5499">
            <w:r>
              <w:rPr>
                <w:color w:val="000000"/>
              </w:rPr>
              <w:t xml:space="preserve">Any expenditure in Fraedom that has been coded and approved by </w:t>
            </w:r>
            <w:r w:rsidRPr="00607935">
              <w:rPr>
                <w:b/>
                <w:bCs/>
                <w:color w:val="000000"/>
              </w:rPr>
              <w:t>4.</w:t>
            </w:r>
            <w:r w:rsidR="004601E4">
              <w:rPr>
                <w:b/>
                <w:bCs/>
                <w:color w:val="000000"/>
              </w:rPr>
              <w:t>0</w:t>
            </w:r>
            <w:r w:rsidRPr="00607935">
              <w:rPr>
                <w:b/>
                <w:bCs/>
                <w:color w:val="000000"/>
              </w:rPr>
              <w:t xml:space="preserve">0pm </w:t>
            </w:r>
            <w:r w:rsidR="00972443" w:rsidRPr="00607935">
              <w:rPr>
                <w:b/>
                <w:bCs/>
                <w:color w:val="000000"/>
              </w:rPr>
              <w:t>4</w:t>
            </w:r>
            <w:r w:rsidR="00972443" w:rsidRPr="00607935">
              <w:rPr>
                <w:b/>
                <w:bCs/>
                <w:color w:val="000000"/>
                <w:vertAlign w:val="superscript"/>
              </w:rPr>
              <w:t>th</w:t>
            </w:r>
            <w:r w:rsidR="00972443" w:rsidRPr="00607935">
              <w:rPr>
                <w:b/>
                <w:bCs/>
                <w:color w:val="000000"/>
              </w:rPr>
              <w:t xml:space="preserve"> </w:t>
            </w:r>
            <w:r w:rsidRPr="00607935">
              <w:rPr>
                <w:b/>
                <w:bCs/>
                <w:color w:val="000000"/>
              </w:rPr>
              <w:t>Jan</w:t>
            </w:r>
            <w:r w:rsidR="00521CA3">
              <w:rPr>
                <w:b/>
                <w:bCs/>
                <w:color w:val="000000"/>
              </w:rPr>
              <w:t>uary</w:t>
            </w:r>
            <w:r w:rsidRPr="00607935">
              <w:rPr>
                <w:b/>
                <w:bCs/>
                <w:color w:val="000000"/>
              </w:rPr>
              <w:t xml:space="preserve"> 20</w:t>
            </w:r>
            <w:r w:rsidR="00415FDD" w:rsidRPr="00607935">
              <w:rPr>
                <w:b/>
                <w:bCs/>
                <w:color w:val="000000"/>
              </w:rPr>
              <w:t>2</w:t>
            </w:r>
            <w:r w:rsidR="00972443" w:rsidRPr="00607935">
              <w:rPr>
                <w:b/>
                <w:bCs/>
                <w:color w:val="000000"/>
              </w:rPr>
              <w:t>1</w:t>
            </w:r>
            <w:r>
              <w:rPr>
                <w:color w:val="000000"/>
              </w:rPr>
              <w:t xml:space="preserve"> will be posted into your cost centre/project level accounts in 20</w:t>
            </w:r>
            <w:r w:rsidR="00972443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. </w:t>
            </w:r>
            <w:r w:rsidR="00521C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If you have a significant expense on your Fraedom account that has not been coded or approved by that date, it can be accrued by your Finance Business Partner </w:t>
            </w:r>
            <w:r w:rsidR="004601E4">
              <w:rPr>
                <w:color w:val="000000"/>
              </w:rPr>
              <w:t xml:space="preserve">up to </w:t>
            </w:r>
            <w:r w:rsidRPr="00607935">
              <w:rPr>
                <w:b/>
                <w:bCs/>
                <w:color w:val="000000"/>
              </w:rPr>
              <w:t xml:space="preserve">COB </w:t>
            </w:r>
            <w:r w:rsidR="00972443" w:rsidRPr="00607935">
              <w:rPr>
                <w:b/>
                <w:bCs/>
                <w:color w:val="000000"/>
              </w:rPr>
              <w:t>Wed 6</w:t>
            </w:r>
            <w:r w:rsidR="004601E4" w:rsidRPr="00607935">
              <w:rPr>
                <w:b/>
                <w:bCs/>
                <w:color w:val="000000"/>
                <w:vertAlign w:val="superscript"/>
              </w:rPr>
              <w:t>t</w:t>
            </w:r>
            <w:r w:rsidR="00972443" w:rsidRPr="00607935">
              <w:rPr>
                <w:b/>
                <w:bCs/>
                <w:color w:val="000000"/>
                <w:vertAlign w:val="superscript"/>
              </w:rPr>
              <w:t>h</w:t>
            </w:r>
            <w:r w:rsidR="00972443" w:rsidRPr="00607935">
              <w:rPr>
                <w:b/>
                <w:bCs/>
                <w:color w:val="000000"/>
              </w:rPr>
              <w:t xml:space="preserve"> </w:t>
            </w:r>
            <w:r w:rsidRPr="00607935">
              <w:rPr>
                <w:b/>
                <w:bCs/>
                <w:color w:val="000000"/>
              </w:rPr>
              <w:t>Jan</w:t>
            </w:r>
            <w:r w:rsidR="00521CA3">
              <w:rPr>
                <w:b/>
                <w:bCs/>
                <w:color w:val="000000"/>
              </w:rPr>
              <w:t>uary</w:t>
            </w:r>
            <w:r w:rsidRPr="00607935">
              <w:rPr>
                <w:b/>
                <w:bCs/>
                <w:color w:val="000000"/>
              </w:rPr>
              <w:t xml:space="preserve"> 20</w:t>
            </w:r>
            <w:r w:rsidR="00415FDD" w:rsidRPr="00607935">
              <w:rPr>
                <w:b/>
                <w:bCs/>
                <w:color w:val="000000"/>
              </w:rPr>
              <w:t>2</w:t>
            </w:r>
            <w:r w:rsidR="00972443" w:rsidRPr="00607935">
              <w:rPr>
                <w:b/>
                <w:bCs/>
                <w:color w:val="000000"/>
              </w:rPr>
              <w:t>1</w:t>
            </w:r>
            <w:r>
              <w:rPr>
                <w:color w:val="000000"/>
              </w:rPr>
              <w:t xml:space="preserve">.  </w:t>
            </w:r>
          </w:p>
          <w:p w14:paraId="78CDF72F" w14:textId="77777777" w:rsidR="008F5499" w:rsidRDefault="008F5499"/>
          <w:p w14:paraId="1090C169" w14:textId="77777777" w:rsidR="008F5499" w:rsidRDefault="008F549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Purchase Orders</w:t>
            </w:r>
          </w:p>
          <w:p w14:paraId="1C588C06" w14:textId="77777777" w:rsidR="008F5499" w:rsidRDefault="008F5499"/>
          <w:p w14:paraId="0C008279" w14:textId="6322696B" w:rsidR="008F5499" w:rsidRDefault="004601E4">
            <w:r>
              <w:rPr>
                <w:color w:val="000000"/>
              </w:rPr>
              <w:t>Purchase Orders for g</w:t>
            </w:r>
            <w:r w:rsidR="008F5499">
              <w:rPr>
                <w:color w:val="000000"/>
              </w:rPr>
              <w:t>oods or services received in 20</w:t>
            </w:r>
            <w:r w:rsidR="00B2672F">
              <w:rPr>
                <w:color w:val="000000"/>
              </w:rPr>
              <w:t>20</w:t>
            </w:r>
            <w:r w:rsidR="00415FDD">
              <w:rPr>
                <w:color w:val="000000"/>
              </w:rPr>
              <w:t xml:space="preserve"> </w:t>
            </w:r>
            <w:r w:rsidR="008F5499">
              <w:rPr>
                <w:color w:val="000000"/>
              </w:rPr>
              <w:t xml:space="preserve">need to be receipted in TechOne before </w:t>
            </w:r>
            <w:r w:rsidR="008F5499" w:rsidRPr="00607935">
              <w:rPr>
                <w:b/>
                <w:bCs/>
                <w:color w:val="000000"/>
              </w:rPr>
              <w:t>4.</w:t>
            </w:r>
            <w:r>
              <w:rPr>
                <w:b/>
                <w:bCs/>
                <w:color w:val="000000"/>
              </w:rPr>
              <w:t>0</w:t>
            </w:r>
            <w:r w:rsidR="008F5499" w:rsidRPr="00607935">
              <w:rPr>
                <w:b/>
                <w:bCs/>
                <w:color w:val="000000"/>
              </w:rPr>
              <w:t xml:space="preserve">0pm </w:t>
            </w:r>
            <w:r w:rsidR="00B93640" w:rsidRPr="00607935">
              <w:rPr>
                <w:b/>
                <w:bCs/>
                <w:color w:val="000000"/>
              </w:rPr>
              <w:t>2</w:t>
            </w:r>
            <w:r w:rsidR="00B2672F" w:rsidRPr="00607935">
              <w:rPr>
                <w:b/>
                <w:bCs/>
                <w:color w:val="000000"/>
              </w:rPr>
              <w:t>2n</w:t>
            </w:r>
            <w:r w:rsidR="00B93640" w:rsidRPr="00607935">
              <w:rPr>
                <w:b/>
                <w:bCs/>
                <w:color w:val="000000"/>
              </w:rPr>
              <w:t xml:space="preserve">d </w:t>
            </w:r>
            <w:r w:rsidR="008F5499" w:rsidRPr="00607935">
              <w:rPr>
                <w:b/>
                <w:bCs/>
                <w:color w:val="000000"/>
              </w:rPr>
              <w:t>Dec</w:t>
            </w:r>
            <w:r w:rsidR="00521CA3">
              <w:rPr>
                <w:b/>
                <w:bCs/>
                <w:color w:val="000000"/>
              </w:rPr>
              <w:t>ember</w:t>
            </w:r>
            <w:r w:rsidR="008F5499" w:rsidRPr="00607935">
              <w:rPr>
                <w:b/>
                <w:bCs/>
                <w:color w:val="000000"/>
              </w:rPr>
              <w:t xml:space="preserve"> 20</w:t>
            </w:r>
            <w:r w:rsidR="00B2672F" w:rsidRPr="00607935">
              <w:rPr>
                <w:b/>
                <w:bCs/>
                <w:color w:val="000000"/>
              </w:rPr>
              <w:t>20</w:t>
            </w:r>
            <w:r w:rsidR="00B2672F">
              <w:rPr>
                <w:color w:val="000000"/>
              </w:rPr>
              <w:t xml:space="preserve"> </w:t>
            </w:r>
            <w:r w:rsidR="008F5499">
              <w:rPr>
                <w:color w:val="000000"/>
              </w:rPr>
              <w:t>to ensure costs are included in 20</w:t>
            </w:r>
            <w:r w:rsidR="00B2672F">
              <w:rPr>
                <w:color w:val="000000"/>
              </w:rPr>
              <w:t>20</w:t>
            </w:r>
            <w:r w:rsidR="008F5499">
              <w:rPr>
                <w:color w:val="000000"/>
              </w:rPr>
              <w:t>.</w:t>
            </w:r>
          </w:p>
          <w:p w14:paraId="0A9A0998" w14:textId="77777777" w:rsidR="008F5499" w:rsidRDefault="008F5499"/>
          <w:p w14:paraId="526EB115" w14:textId="69A35916" w:rsidR="008F5499" w:rsidRDefault="008F5499">
            <w:r>
              <w:rPr>
                <w:color w:val="000000"/>
              </w:rPr>
              <w:t>Purchase orders raised but not receipted will remain as commitments against your account at year end and will be carried forward in 20</w:t>
            </w:r>
            <w:r w:rsidR="00415FDD">
              <w:rPr>
                <w:color w:val="000000"/>
              </w:rPr>
              <w:t>2</w:t>
            </w:r>
            <w:r w:rsidR="00D65508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. </w:t>
            </w:r>
            <w:r w:rsidR="00590D54">
              <w:rPr>
                <w:color w:val="000000"/>
              </w:rPr>
              <w:t xml:space="preserve">Receipting should only occur if the goods </w:t>
            </w:r>
            <w:r w:rsidR="009715F3">
              <w:rPr>
                <w:color w:val="000000"/>
              </w:rPr>
              <w:t xml:space="preserve">are received or the service provided.  </w:t>
            </w:r>
            <w:r>
              <w:rPr>
                <w:color w:val="000000"/>
              </w:rPr>
              <w:t xml:space="preserve">Note however that carrying over a purchase order does </w:t>
            </w:r>
            <w:r w:rsidR="00D65508">
              <w:rPr>
                <w:b/>
                <w:bCs/>
                <w:color w:val="000000"/>
              </w:rPr>
              <w:t>NOT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equate to an approved budget and does not mean that funds are available in 20</w:t>
            </w:r>
            <w:r w:rsidR="00415FDD">
              <w:rPr>
                <w:color w:val="000000"/>
              </w:rPr>
              <w:t>2</w:t>
            </w:r>
            <w:r w:rsidR="00D65508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="00521C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Please check with you</w:t>
            </w:r>
            <w:r w:rsidR="002D60F8">
              <w:rPr>
                <w:color w:val="000000"/>
              </w:rPr>
              <w:t>r</w:t>
            </w:r>
            <w:r>
              <w:rPr>
                <w:color w:val="000000"/>
              </w:rPr>
              <w:t xml:space="preserve"> Finance Business Partner for further information.</w:t>
            </w:r>
          </w:p>
          <w:p w14:paraId="7B8C5A8D" w14:textId="77777777" w:rsidR="008F5499" w:rsidRDefault="008F5499"/>
          <w:p w14:paraId="527AD0F4" w14:textId="5581A2D8" w:rsidR="008F5499" w:rsidRDefault="0009195A">
            <w:r>
              <w:rPr>
                <w:color w:val="000000"/>
              </w:rPr>
              <w:t>I</w:t>
            </w:r>
            <w:r w:rsidR="008F5499">
              <w:rPr>
                <w:color w:val="000000"/>
              </w:rPr>
              <w:t>f you have any purchase orders that are not valid anymore</w:t>
            </w:r>
            <w:r w:rsidR="004601E4">
              <w:rPr>
                <w:color w:val="000000"/>
              </w:rPr>
              <w:t>,</w:t>
            </w:r>
            <w:r w:rsidR="008F5499">
              <w:rPr>
                <w:color w:val="000000"/>
              </w:rPr>
              <w:t xml:space="preserve"> please cancel them </w:t>
            </w:r>
            <w:r w:rsidR="004601E4">
              <w:rPr>
                <w:color w:val="000000"/>
              </w:rPr>
              <w:t xml:space="preserve">in TechOne </w:t>
            </w:r>
            <w:r w:rsidR="008F5499">
              <w:rPr>
                <w:color w:val="000000"/>
              </w:rPr>
              <w:t xml:space="preserve">before </w:t>
            </w:r>
            <w:r w:rsidR="00D65508" w:rsidRPr="00607935">
              <w:rPr>
                <w:b/>
                <w:bCs/>
                <w:color w:val="000000"/>
              </w:rPr>
              <w:t>22nd</w:t>
            </w:r>
            <w:r w:rsidRPr="00607935">
              <w:rPr>
                <w:b/>
                <w:bCs/>
                <w:color w:val="000000"/>
              </w:rPr>
              <w:t xml:space="preserve"> </w:t>
            </w:r>
            <w:r w:rsidR="00521CA3" w:rsidRPr="0005731C">
              <w:rPr>
                <w:b/>
                <w:bCs/>
                <w:color w:val="000000"/>
              </w:rPr>
              <w:t>Dec</w:t>
            </w:r>
            <w:r w:rsidR="00521CA3">
              <w:rPr>
                <w:b/>
                <w:bCs/>
                <w:color w:val="000000"/>
              </w:rPr>
              <w:t>ember</w:t>
            </w:r>
            <w:r w:rsidR="00521CA3" w:rsidRPr="0005731C">
              <w:rPr>
                <w:b/>
                <w:bCs/>
                <w:color w:val="000000"/>
              </w:rPr>
              <w:t xml:space="preserve"> </w:t>
            </w:r>
            <w:r w:rsidR="008F5499" w:rsidRPr="00607935">
              <w:rPr>
                <w:b/>
                <w:bCs/>
                <w:color w:val="000000"/>
              </w:rPr>
              <w:t>20</w:t>
            </w:r>
            <w:r w:rsidR="00D65508" w:rsidRPr="00607935">
              <w:rPr>
                <w:b/>
                <w:bCs/>
                <w:color w:val="000000"/>
              </w:rPr>
              <w:t>20</w:t>
            </w:r>
            <w:r w:rsidR="004601E4">
              <w:rPr>
                <w:color w:val="000000"/>
              </w:rPr>
              <w:t xml:space="preserve"> </w:t>
            </w:r>
            <w:r w:rsidR="003D3C7C">
              <w:rPr>
                <w:color w:val="000000"/>
              </w:rPr>
              <w:t>– this will avoid unnecessary commitments being disclosed.</w:t>
            </w:r>
          </w:p>
          <w:p w14:paraId="4CAEF2B0" w14:textId="77777777" w:rsidR="008F5499" w:rsidRDefault="008F5499">
            <w:pPr>
              <w:rPr>
                <w:b/>
                <w:bCs/>
              </w:rPr>
            </w:pPr>
          </w:p>
          <w:p w14:paraId="6EA11FCE" w14:textId="77777777" w:rsidR="008F5499" w:rsidRDefault="008F549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Journals</w:t>
            </w:r>
          </w:p>
          <w:p w14:paraId="364E01D2" w14:textId="77777777" w:rsidR="008F5499" w:rsidRDefault="008F5499"/>
          <w:p w14:paraId="69A8A2FD" w14:textId="21372A46" w:rsidR="008F5499" w:rsidRDefault="008F5499">
            <w:r>
              <w:rPr>
                <w:color w:val="000000"/>
              </w:rPr>
              <w:t>Journals are posted to accounts as soon as they are approved. Journals will be processed in 20</w:t>
            </w:r>
            <w:r w:rsidR="00D65508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College/Portfolio accounts until </w:t>
            </w:r>
            <w:r w:rsidRPr="00607935">
              <w:rPr>
                <w:b/>
                <w:bCs/>
                <w:color w:val="000000"/>
              </w:rPr>
              <w:t xml:space="preserve">COB </w:t>
            </w:r>
            <w:r w:rsidR="00D65508" w:rsidRPr="00607935">
              <w:rPr>
                <w:b/>
                <w:bCs/>
                <w:color w:val="000000"/>
              </w:rPr>
              <w:t>6th</w:t>
            </w:r>
            <w:r w:rsidRPr="00607935">
              <w:rPr>
                <w:b/>
                <w:bCs/>
                <w:color w:val="000000"/>
              </w:rPr>
              <w:t xml:space="preserve"> January 20</w:t>
            </w:r>
            <w:r w:rsidR="00E27BD1" w:rsidRPr="00607935">
              <w:rPr>
                <w:b/>
                <w:bCs/>
                <w:color w:val="000000"/>
              </w:rPr>
              <w:t>2</w:t>
            </w:r>
            <w:r w:rsidR="00D65508" w:rsidRPr="00607935">
              <w:rPr>
                <w:b/>
                <w:bCs/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  <w:p w14:paraId="0581AB9D" w14:textId="77777777" w:rsidR="008F5499" w:rsidRDefault="008F5499"/>
          <w:p w14:paraId="04577B3A" w14:textId="77777777" w:rsidP="002D60F8" w:rsidR="00C752B3" w:rsidRDefault="00C752B3">
            <w:pPr>
              <w:rPr>
                <w:b/>
              </w:rPr>
            </w:pPr>
          </w:p>
          <w:p w14:paraId="0BC54CB7" w14:textId="63C1293A" w:rsidP="002D60F8" w:rsidR="002D60F8" w:rsidRDefault="002D60F8" w:rsidRPr="00590D54">
            <w:pPr>
              <w:rPr>
                <w:b/>
              </w:rPr>
            </w:pPr>
            <w:r w:rsidRPr="00590D54">
              <w:rPr>
                <w:b/>
              </w:rPr>
              <w:t>Requests for Invoice Creation</w:t>
            </w:r>
          </w:p>
          <w:p w14:paraId="0F9F5BF1" w14:textId="77777777" w:rsidR="00590D54" w:rsidRDefault="00590D54"/>
          <w:p w14:paraId="6F96EBF0" w14:textId="46DF4E10" w:rsidR="00590D54" w:rsidRDefault="00590D54">
            <w:r>
              <w:t>Invoices will be created to request payments up to 2</w:t>
            </w:r>
            <w:r w:rsidR="00C752B3">
              <w:t>2nd</w:t>
            </w:r>
            <w:r>
              <w:t xml:space="preserve"> Dec.  To ensure your Request for Invoice is processed in time, please ensure your requests are approved and sent through by </w:t>
            </w:r>
            <w:r w:rsidRPr="00607935">
              <w:rPr>
                <w:b/>
                <w:bCs/>
              </w:rPr>
              <w:t>COB 16</w:t>
            </w:r>
            <w:r w:rsidRPr="00607935">
              <w:rPr>
                <w:b/>
                <w:bCs/>
                <w:vertAlign w:val="superscript"/>
              </w:rPr>
              <w:t>th</w:t>
            </w:r>
            <w:r w:rsidRPr="00607935">
              <w:rPr>
                <w:b/>
                <w:bCs/>
              </w:rPr>
              <w:t xml:space="preserve"> December</w:t>
            </w:r>
            <w:r>
              <w:t xml:space="preserve"> via your local Finance team.  </w:t>
            </w:r>
          </w:p>
          <w:p w14:paraId="47DD5DB3" w14:textId="77777777" w:rsidR="00590D54" w:rsidRDefault="00590D54"/>
          <w:p w14:paraId="5AA1687F" w14:textId="77777777" w:rsidR="008F5499" w:rsidRDefault="008F549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General Principle</w:t>
            </w:r>
          </w:p>
          <w:p w14:paraId="7D32AE65" w14:textId="695123C4" w:rsidR="008F5499" w:rsidRDefault="008F5499">
            <w:r>
              <w:rPr>
                <w:color w:val="000000"/>
              </w:rPr>
              <w:t>It is important to note that the goods</w:t>
            </w:r>
            <w:r w:rsidR="00521CA3">
              <w:rPr>
                <w:color w:val="000000"/>
              </w:rPr>
              <w:t xml:space="preserve"> must have been received</w:t>
            </w:r>
            <w:r>
              <w:rPr>
                <w:color w:val="000000"/>
              </w:rPr>
              <w:t xml:space="preserve"> or</w:t>
            </w:r>
            <w:r w:rsidR="00521CA3">
              <w:rPr>
                <w:color w:val="000000"/>
              </w:rPr>
              <w:t xml:space="preserve"> the</w:t>
            </w:r>
            <w:r>
              <w:rPr>
                <w:color w:val="000000"/>
              </w:rPr>
              <w:t xml:space="preserve"> service </w:t>
            </w:r>
            <w:r w:rsidR="00521CA3">
              <w:rPr>
                <w:color w:val="000000"/>
              </w:rPr>
              <w:t xml:space="preserve">delivered / performed </w:t>
            </w:r>
            <w:r>
              <w:rPr>
                <w:color w:val="000000"/>
              </w:rPr>
              <w:t>in 20</w:t>
            </w:r>
            <w:r w:rsidR="00C752B3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for the expense to be recorded in 20</w:t>
            </w:r>
            <w:r w:rsidR="00C752B3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. </w:t>
            </w:r>
            <w:r w:rsidR="00521CA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If you have an invoice that is processed in 20</w:t>
            </w:r>
            <w:r w:rsidR="00C752B3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where the goods or service are not to be received until 20</w:t>
            </w:r>
            <w:r w:rsidR="003D3C7C">
              <w:rPr>
                <w:color w:val="000000"/>
              </w:rPr>
              <w:t>2</w:t>
            </w:r>
            <w:r w:rsidR="00C752B3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it is treated as a prepayment and the expense will be recorded in 20</w:t>
            </w:r>
            <w:r w:rsidR="003D3C7C">
              <w:rPr>
                <w:color w:val="000000"/>
              </w:rPr>
              <w:t>2</w:t>
            </w:r>
            <w:r w:rsidR="00C752B3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  <w:p w14:paraId="1C5945DD" w14:textId="77777777" w:rsidR="008F5499" w:rsidRDefault="008F5499">
            <w:pPr>
              <w:rPr>
                <w:color w:val="1F497D"/>
              </w:rPr>
            </w:pPr>
          </w:p>
          <w:p w14:paraId="27D9FBCA" w14:textId="77777777" w:rsidR="008F5499" w:rsidRDefault="008F549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System Availability and critical dates</w:t>
            </w:r>
          </w:p>
          <w:p w14:paraId="709D3950" w14:textId="77777777" w:rsidR="008F5499" w:rsidRDefault="008F5499">
            <w:pPr>
              <w:rPr>
                <w:rFonts w:ascii="Arial" w:cs="Arial" w:hAnsi="Arial"/>
                <w:sz w:val="20"/>
                <w:szCs w:val="20"/>
              </w:rPr>
            </w:pPr>
          </w:p>
          <w:p w14:paraId="5AACB676" w14:textId="7479FFA1" w:rsidP="002132AB" w:rsidR="008F5499" w:rsidRDefault="002134B5">
            <w:pPr>
              <w:numPr>
                <w:ilvl w:val="0"/>
                <w:numId w:val="1"/>
              </w:numPr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1</w:t>
            </w:r>
            <w:r w:rsidR="002C33C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5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</w:t>
            </w:r>
            <w:r w:rsidR="008F549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Dec – Final Overseas payment run</w:t>
            </w:r>
          </w:p>
          <w:p w14:paraId="2EE0A536" w14:textId="7307A06C" w:rsidP="002132AB" w:rsidR="008F5499" w:rsidRDefault="002134B5">
            <w:pPr>
              <w:numPr>
                <w:ilvl w:val="0"/>
                <w:numId w:val="1"/>
              </w:numPr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1</w:t>
            </w:r>
            <w:r w:rsidR="002C33C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6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</w:t>
            </w:r>
            <w:r w:rsidR="008F549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Dec – Cut-off for coding purchasing cards to enable approval to occur in 20</w:t>
            </w:r>
            <w:r w:rsidR="00521CA3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20</w:t>
            </w:r>
          </w:p>
          <w:p w14:paraId="7B2EC202" w14:textId="05385ADE" w:rsidP="002132AB" w:rsidR="008F5499" w:rsidRDefault="002134B5">
            <w:pPr>
              <w:numPr>
                <w:ilvl w:val="0"/>
                <w:numId w:val="1"/>
              </w:numPr>
              <w:rPr>
                <w:rFonts w:ascii="Arial" w:cs="Arial" w:eastAsia="Times New Roman" w:hAnsi="Arial"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1</w:t>
            </w:r>
            <w:r w:rsidR="002C33C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7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</w:t>
            </w:r>
            <w:r w:rsidR="008F549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Dec – Final creditors payment run</w:t>
            </w:r>
            <w:r w:rsidR="00521CA3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for 2020</w:t>
            </w:r>
          </w:p>
          <w:p w14:paraId="4BD5CC2C" w14:textId="11D0722B" w:rsidP="002132AB" w:rsidR="008F5499" w:rsidRDefault="008F5499">
            <w:pPr>
              <w:numPr>
                <w:ilvl w:val="0"/>
                <w:numId w:val="1"/>
              </w:numP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b/>
                <w:bCs/>
                <w:color w:val="000000"/>
                <w:sz w:val="20"/>
                <w:szCs w:val="20"/>
              </w:rPr>
              <w:t>On 2</w:t>
            </w:r>
            <w:r w:rsidR="002C33C0">
              <w:rPr>
                <w:rFonts w:ascii="Arial" w:cs="Arial" w:eastAsia="Times New Roman" w:hAnsi="Arial"/>
                <w:b/>
                <w:bCs/>
                <w:color w:val="000000"/>
                <w:sz w:val="20"/>
                <w:szCs w:val="20"/>
              </w:rPr>
              <w:t>2</w:t>
            </w:r>
            <w:r w:rsidR="0009195A">
              <w:rPr>
                <w:rFonts w:ascii="Arial" w:cs="Arial" w:eastAsia="Times New Roman" w:hAnsi="Arial"/>
                <w:b/>
                <w:bCs/>
                <w:color w:val="000000"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cs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 Dec 20</w:t>
            </w:r>
            <w:r w:rsidR="002C33C0">
              <w:rPr>
                <w:rFonts w:ascii="Arial" w:cs="Arial" w:eastAsia="Times New Roman" w:hAnsi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cs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 from 4.30pm onwards TechOne Financials will not be available. 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The Finance Systems Office will close Accounts Receivable, Accounts Payable modules and Commitments for 20</w:t>
            </w:r>
            <w:r w:rsidR="002C33C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20</w:t>
            </w:r>
          </w:p>
          <w:p w14:paraId="6406A127" w14:textId="06A24E64" w:rsidP="002132AB" w:rsidR="008F5499" w:rsidRDefault="008F5499">
            <w:pPr>
              <w:numPr>
                <w:ilvl w:val="0"/>
                <w:numId w:val="1"/>
              </w:numP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2</w:t>
            </w:r>
            <w:r w:rsidR="002C33C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4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December</w:t>
            </w:r>
            <w:r w:rsidR="0009195A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– Tech</w:t>
            </w:r>
            <w:r w:rsidR="0009195A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O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ne re-opens for 20</w:t>
            </w:r>
            <w:r w:rsidR="002C33C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20</w:t>
            </w:r>
            <w:r w:rsidR="00521CA3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processing. </w:t>
            </w:r>
            <w:r w:rsidR="00521CA3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Basware will continue to be available for coding and approval over the Christmas </w:t>
            </w:r>
            <w:r w:rsidR="00521CA3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– New Year 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break</w:t>
            </w:r>
          </w:p>
          <w:p w14:paraId="6D6147F5" w14:textId="54BBE630" w:rsidP="002132AB" w:rsidR="008F5499" w:rsidRDefault="00B1020D" w:rsidRPr="00C62240">
            <w:pPr>
              <w:numPr>
                <w:ilvl w:val="0"/>
                <w:numId w:val="1"/>
              </w:numP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 w:rsidRPr="00C6224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1</w:t>
            </w:r>
            <w:r w:rsidR="008F5499" w:rsidRPr="00C6224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Jan 20</w:t>
            </w:r>
            <w:r w:rsidR="00BD09D9" w:rsidRPr="00C6224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2</w:t>
            </w:r>
            <w:r w:rsidRPr="00C6224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1</w:t>
            </w:r>
            <w:r w:rsidR="008F5499" w:rsidRPr="00C6224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– Finance Systems will post payroll files related to pay period ending </w:t>
            </w:r>
            <w:r w:rsidRPr="00C6224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1</w:t>
            </w:r>
            <w:r w:rsidR="008F5499" w:rsidRPr="00C6224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Jan 20</w:t>
            </w:r>
            <w:r w:rsidR="002C2099" w:rsidRPr="00C6224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2</w:t>
            </w:r>
            <w:r w:rsidRPr="00C6224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1 prior to close down</w:t>
            </w:r>
          </w:p>
          <w:p w14:paraId="48126655" w14:textId="4489F4D5" w:rsidP="002132AB" w:rsidR="008F5499" w:rsidRDefault="002C33C0">
            <w:pPr>
              <w:numPr>
                <w:ilvl w:val="0"/>
                <w:numId w:val="1"/>
              </w:numP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5</w:t>
            </w:r>
            <w:r w:rsidR="008F549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Jan 20</w:t>
            </w:r>
            <w:r w:rsidR="00BD09D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2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1</w:t>
            </w:r>
            <w:r w:rsidR="008F549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– regular creditors cheque/EFT run</w:t>
            </w:r>
          </w:p>
          <w:p w14:paraId="04ECAD1D" w14:textId="110C7C11" w:rsidP="002132AB" w:rsidR="008F5499" w:rsidRDefault="00BB597A">
            <w:pPr>
              <w:numPr>
                <w:ilvl w:val="0"/>
                <w:numId w:val="1"/>
              </w:numP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6</w:t>
            </w:r>
            <w:r w:rsidR="008F549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Jan 20</w:t>
            </w:r>
            <w:r w:rsidR="00BD09D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2</w:t>
            </w:r>
            <w:r w:rsidR="002C33C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1</w:t>
            </w:r>
            <w:r w:rsidR="008F549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– final day for journal entries into 20</w:t>
            </w:r>
            <w:r w:rsidR="002C33C0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20</w:t>
            </w:r>
            <w:r w:rsidR="008F549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</w:t>
            </w:r>
            <w:r w:rsidR="004643E7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College</w:t>
            </w:r>
            <w:r w:rsidR="008F549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 and Portfolio accounts by Business Partners</w:t>
            </w:r>
          </w:p>
          <w:p w14:paraId="06B9EA09" w14:textId="662444A5" w:rsidP="002132AB" w:rsidR="008F5499" w:rsidRDefault="002C33C0">
            <w:pPr>
              <w:numPr>
                <w:ilvl w:val="0"/>
                <w:numId w:val="1"/>
              </w:numPr>
              <w:rPr>
                <w:rFonts w:ascii="Arial" w:cs="Arial" w:eastAsia="Times New Roman" w:hAnsi="Arial"/>
                <w:b/>
                <w:bCs/>
                <w:sz w:val="20"/>
                <w:szCs w:val="20"/>
              </w:rPr>
            </w:pP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 xml:space="preserve">12 </w:t>
            </w:r>
            <w:r w:rsidR="008F549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Jan 20</w:t>
            </w:r>
            <w:r w:rsidR="00BD09D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2</w:t>
            </w:r>
            <w:r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1</w:t>
            </w:r>
            <w:r w:rsidR="008F5499">
              <w:rPr>
                <w:rFonts w:ascii="Arial" w:cs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F5499">
              <w:rPr>
                <w:rFonts w:ascii="Arial" w:cs="Arial" w:eastAsia="Times New Roman" w:hAnsi="Arial"/>
                <w:color w:val="000000"/>
                <w:sz w:val="20"/>
                <w:szCs w:val="20"/>
              </w:rPr>
              <w:t>– first overseas payment run</w:t>
            </w:r>
          </w:p>
          <w:p w14:paraId="25540D19" w14:textId="77777777" w:rsidR="008F5499" w:rsidRDefault="008F5499">
            <w:pPr>
              <w:rPr>
                <w:color w:val="1F497D"/>
              </w:rPr>
            </w:pPr>
          </w:p>
          <w:p w14:paraId="248749E8" w14:textId="77777777" w:rsidR="008F5499" w:rsidRDefault="008F5499"/>
          <w:p w14:paraId="752B0A3E" w14:textId="5960BC1A" w:rsidR="008F5499" w:rsidRDefault="008F5499">
            <w:r>
              <w:rPr>
                <w:color w:val="000000"/>
              </w:rPr>
              <w:t>For all key dates and tasks please see the End of Year Calendar Fiscal Year 20</w:t>
            </w:r>
            <w:r w:rsidR="00683D83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</w:t>
            </w:r>
            <w:hyperlink r:id="rId11" w:history="1">
              <w:r w:rsidR="005D1044" w:rsidRPr="005D1044">
                <w:rPr>
                  <w:rStyle w:val="Hyperlink"/>
                </w:rPr>
                <w:t>here.</w:t>
              </w:r>
            </w:hyperlink>
            <w:r w:rsidR="005D10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If you need any further clarification please contact Financial Accounting  (contact details are below) or your Finance Business Partner.</w:t>
            </w:r>
          </w:p>
          <w:p w14:paraId="0F34D8E0" w14:textId="77777777" w:rsidR="008F5499" w:rsidRDefault="008F5499"/>
          <w:p w14:paraId="7970AFA9" w14:textId="77777777" w:rsidR="008F5499" w:rsidRDefault="008F5499"/>
          <w:p w14:paraId="730FDFA0" w14:textId="77777777" w:rsidR="008F5499" w:rsidRDefault="008F5499">
            <w:r>
              <w:rPr>
                <w:color w:val="000000"/>
              </w:rPr>
              <w:t>Regards</w:t>
            </w:r>
          </w:p>
          <w:p w14:paraId="4302F96E" w14:textId="77777777" w:rsidR="008F5499" w:rsidRDefault="008F5499"/>
          <w:p w14:paraId="4727134B" w14:textId="77777777" w:rsidR="00580566" w:rsidRDefault="004C56CD">
            <w:pPr>
              <w:rPr>
                <w:color w:val="000000"/>
              </w:rPr>
            </w:pPr>
            <w:r>
              <w:rPr>
                <w:color w:val="000000"/>
              </w:rPr>
              <w:t>Helen Tsakonas</w:t>
            </w:r>
            <w:r w:rsidR="008F5499">
              <w:rPr>
                <w:color w:val="000000"/>
              </w:rPr>
              <w:t xml:space="preserve">, </w:t>
            </w:r>
          </w:p>
          <w:p w14:paraId="7A27ED96" w14:textId="38704C2C" w:rsidR="008F5499" w:rsidRDefault="008F5499">
            <w:r>
              <w:rPr>
                <w:color w:val="000000"/>
              </w:rPr>
              <w:t>Senior Financial Accountant – 8201 2975</w:t>
            </w:r>
          </w:p>
          <w:p w14:paraId="68D27D4A" w14:textId="35362B2B" w:rsidR="008F5499" w:rsidRDefault="008F5499"/>
          <w:p w14:paraId="6E1D6C00" w14:textId="77777777" w:rsidR="008F5499" w:rsidRDefault="008F5499"/>
          <w:p w14:paraId="79C54052" w14:textId="77777777" w:rsidR="008F5499" w:rsidRDefault="008F5499"/>
          <w:p w14:paraId="1F41819A" w14:textId="77777777" w:rsidR="008F5499" w:rsidRDefault="008F5499"/>
          <w:p w14:paraId="2F15B582" w14:textId="77777777" w:rsidR="008F5499" w:rsidRDefault="008F5499"/>
          <w:p w14:paraId="6EE0F76B" w14:textId="77777777" w:rsidR="008F5499" w:rsidRDefault="008F5499">
            <w:pPr>
              <w:rPr>
                <w:color w:val="44546A"/>
                <w:sz w:val="24"/>
                <w:szCs w:val="24"/>
              </w:rPr>
            </w:pPr>
          </w:p>
        </w:tc>
      </w:tr>
    </w:tbl>
    <w:p w14:paraId="2F094004" w14:textId="77777777" w:rsidP="008F5499" w:rsidR="008F5499" w:rsidRDefault="008F5499">
      <w:pPr>
        <w:rPr>
          <w:color w:val="000000"/>
        </w:rPr>
      </w:pPr>
    </w:p>
    <w:sectPr w:rsidR="008F5499">
      <w:pgSz w:h="16838" w:w="11906"/>
      <w:pgMar w:bottom="1440" w:footer="708" w:gutter="0" w:header="708" w:left="1440" w:right="1440" w:top="144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15:restartNumberingAfterBreak="0" w:abstractNumId="0">
    <w:nsid w:val="3B2407A3"/>
    <w:multiLevelType w:val="hybridMultilevel"/>
    <w:tmpl w:val="3424A26A"/>
    <w:lvl w:ilvl="0" w:tplc="FCA4B6F4">
      <w:start w:val="16"/>
      <w:numFmt w:val="bullet"/>
      <w:lvlText w:val="-"/>
      <w:lvlJc w:val="left"/>
      <w:pPr>
        <w:ind w:hanging="360" w:left="720"/>
      </w:pPr>
      <w:rPr>
        <w:rFonts w:ascii="Calibri" w:cs="Calibri" w:eastAsiaTheme="minorHAnsi" w:hAnsi="Calibri" w:hint="default"/>
        <w:b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463C3D2E"/>
    <w:multiLevelType w:val="hybridMultilevel"/>
    <w:tmpl w:val="3B082690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5F5C07B7"/>
    <w:multiLevelType w:val="hybridMultilevel"/>
    <w:tmpl w:val="38E61CC4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99"/>
    <w:rsid w:val="0009195A"/>
    <w:rsid w:val="002134B5"/>
    <w:rsid w:val="00297E3C"/>
    <w:rsid w:val="002C2099"/>
    <w:rsid w:val="002C33C0"/>
    <w:rsid w:val="002D60F8"/>
    <w:rsid w:val="00307DA0"/>
    <w:rsid w:val="003130F7"/>
    <w:rsid w:val="003D3C7C"/>
    <w:rsid w:val="00415FDD"/>
    <w:rsid w:val="004601E4"/>
    <w:rsid w:val="004643E7"/>
    <w:rsid w:val="004C56CD"/>
    <w:rsid w:val="00521CA3"/>
    <w:rsid w:val="00580566"/>
    <w:rsid w:val="00590D54"/>
    <w:rsid w:val="005D1044"/>
    <w:rsid w:val="00607935"/>
    <w:rsid w:val="00683D83"/>
    <w:rsid w:val="00811A01"/>
    <w:rsid w:val="00885B2C"/>
    <w:rsid w:val="008F5499"/>
    <w:rsid w:val="009118DA"/>
    <w:rsid w:val="009715F3"/>
    <w:rsid w:val="00972443"/>
    <w:rsid w:val="00985298"/>
    <w:rsid w:val="00B1020D"/>
    <w:rsid w:val="00B2672F"/>
    <w:rsid w:val="00B93640"/>
    <w:rsid w:val="00BB597A"/>
    <w:rsid w:val="00BD09D9"/>
    <w:rsid w:val="00C62240"/>
    <w:rsid w:val="00C752B3"/>
    <w:rsid w:val="00C924FF"/>
    <w:rsid w:val="00D35713"/>
    <w:rsid w:val="00D65508"/>
    <w:rsid w:val="00E27BD1"/>
    <w:rsid w:val="00EA78DD"/>
    <w:rsid w:val="00F079E5"/>
    <w:rsid w:val="00F1598E"/>
    <w:rsid w:val="00F5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5D81E403"/>
  <w15:chartTrackingRefBased/>
  <w15:docId w15:val="{14CB5389-EB82-4BCB-9F19-41FD0228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8F5499"/>
    <w:pPr>
      <w:spacing w:after="0" w:line="240" w:lineRule="auto"/>
    </w:pPr>
    <w:rPr>
      <w:rFonts w:ascii="Calibri" w:cs="Calibri" w:hAnsi="Calibri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yperlink" w:type="character">
    <w:name w:val="Hyperlink"/>
    <w:basedOn w:val="DefaultParagraphFont"/>
    <w:uiPriority w:val="99"/>
    <w:unhideWhenUsed/>
    <w:rsid w:val="008F5499"/>
    <w:rPr>
      <w:color w:val="0563C1"/>
      <w:u w:val="single"/>
    </w:rPr>
  </w:style>
  <w:style w:styleId="PlainText" w:type="paragraph">
    <w:name w:val="Plain Text"/>
    <w:basedOn w:val="Normal"/>
    <w:link w:val="PlainTextChar"/>
    <w:uiPriority w:val="99"/>
    <w:semiHidden/>
    <w:unhideWhenUsed/>
    <w:rsid w:val="008F5499"/>
  </w:style>
  <w:style w:customStyle="1" w:styleId="PlainTextChar" w:type="character">
    <w:name w:val="Plain Text Char"/>
    <w:basedOn w:val="DefaultParagraphFont"/>
    <w:link w:val="PlainText"/>
    <w:uiPriority w:val="99"/>
    <w:semiHidden/>
    <w:rsid w:val="008F5499"/>
    <w:rPr>
      <w:rFonts w:ascii="Calibri" w:cs="Calibri" w:hAnsi="Calibri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5D1044"/>
    <w:rPr>
      <w:color w:val="605E5C"/>
      <w:shd w:color="auto" w:fill="E1DFDD" w:val="clear"/>
    </w:rPr>
  </w:style>
  <w:style w:styleId="CommentReference" w:type="character">
    <w:name w:val="annotation reference"/>
    <w:basedOn w:val="DefaultParagraphFont"/>
    <w:uiPriority w:val="99"/>
    <w:semiHidden/>
    <w:unhideWhenUsed/>
    <w:rsid w:val="0009195A"/>
    <w:rPr>
      <w:sz w:val="16"/>
      <w:szCs w:val="16"/>
    </w:rPr>
  </w:style>
  <w:style w:styleId="CommentText" w:type="paragraph">
    <w:name w:val="annotation text"/>
    <w:basedOn w:val="Normal"/>
    <w:link w:val="CommentTextChar"/>
    <w:uiPriority w:val="99"/>
    <w:semiHidden/>
    <w:unhideWhenUsed/>
    <w:rsid w:val="0009195A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semiHidden/>
    <w:rsid w:val="0009195A"/>
    <w:rPr>
      <w:rFonts w:ascii="Calibri" w:cs="Calibri" w:hAnsi="Calibri"/>
      <w:sz w:val="20"/>
      <w:szCs w:val="20"/>
    </w:rPr>
  </w:style>
  <w:style w:styleId="CommentSubject" w:type="paragraph">
    <w:name w:val="annotation subject"/>
    <w:basedOn w:val="CommentText"/>
    <w:next w:val="CommentText"/>
    <w:link w:val="CommentSubjectChar"/>
    <w:uiPriority w:val="99"/>
    <w:semiHidden/>
    <w:unhideWhenUsed/>
    <w:rsid w:val="0009195A"/>
    <w:rPr>
      <w:b/>
      <w:bCs/>
    </w:rPr>
  </w:style>
  <w:style w:customStyle="1" w:styleId="CommentSubjectChar" w:type="character">
    <w:name w:val="Comment Subject Char"/>
    <w:basedOn w:val="CommentTextChar"/>
    <w:link w:val="CommentSubject"/>
    <w:uiPriority w:val="99"/>
    <w:semiHidden/>
    <w:rsid w:val="0009195A"/>
    <w:rPr>
      <w:rFonts w:ascii="Calibri" w:cs="Calibri" w:hAnsi="Calibri"/>
      <w:b/>
      <w:bCs/>
      <w:sz w:val="20"/>
      <w:szCs w:val="20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09195A"/>
    <w:rPr>
      <w:rFonts w:ascii="Segoe UI" w:cs="Segoe UI" w:hAnsi="Segoe UI"/>
      <w:sz w:val="18"/>
      <w:szCs w:val="18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09195A"/>
    <w:rPr>
      <w:rFonts w:ascii="Segoe UI" w:cs="Segoe UI" w:hAnsi="Segoe UI"/>
      <w:sz w:val="18"/>
      <w:szCs w:val="18"/>
    </w:rPr>
  </w:style>
  <w:style w:styleId="ListParagraph" w:type="paragraph">
    <w:name w:val="List Paragraph"/>
    <w:basedOn w:val="Normal"/>
    <w:uiPriority w:val="34"/>
    <w:qFormat/>
    <w:rsid w:val="00D35713"/>
    <w:pPr>
      <w:ind w:left="720"/>
      <w:contextualSpacing/>
    </w:pPr>
  </w:style>
  <w:style w:styleId="Revision" w:type="paragraph">
    <w:name w:val="Revision"/>
    <w:hidden/>
    <w:uiPriority w:val="99"/>
    <w:semiHidden/>
    <w:rsid w:val="004601E4"/>
    <w:pPr>
      <w:spacing w:after="0" w:line="240" w:lineRule="auto"/>
    </w:pPr>
    <w:rPr>
      <w:rFonts w:ascii="Calibri" w:cs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cid:image001.png@01D47CFD.E5DA0DF0" TargetMode="External" Type="http://schemas.openxmlformats.org/officeDocument/2006/relationships/image"/>
<Relationship Id="rId11" Target="file:///C:/Users/situ0002/AppData/Local/Microsoft/Windows/INetCache/Content.Outlook/SU3I7BU0/End%20Of%20Year%20Calendar%202019.xlsx" TargetMode="External" Type="http://schemas.openxmlformats.org/officeDocument/2006/relationships/hyperlink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9093399543F4589CCB1625CE30D80" ma:contentTypeVersion="9" ma:contentTypeDescription="Create a new document." ma:contentTypeScope="" ma:versionID="f7827ce9fb7229420d60c8ebc9ee9c01">
  <xsd:schema xmlns:xsd="http://www.w3.org/2001/XMLSchema" xmlns:xs="http://www.w3.org/2001/XMLSchema" xmlns:p="http://schemas.microsoft.com/office/2006/metadata/properties" xmlns:ns3="c6277b6f-75d8-4d2d-82a1-49b35818ffa2" targetNamespace="http://schemas.microsoft.com/office/2006/metadata/properties" ma:root="true" ma:fieldsID="394a585f67f6420b3476831ed629a401" ns3:_="">
    <xsd:import namespace="c6277b6f-75d8-4d2d-82a1-49b35818ff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77b6f-75d8-4d2d-82a1-49b35818f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2617E-BD07-4049-9E9D-5703FCA88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277b6f-75d8-4d2d-82a1-49b35818f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F1F69-796D-4A57-AFFB-D15C0953DE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278E24-0BAB-4A31-8476-E2112ABF32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C6D60A-F0F5-4D43-9141-595D1A354A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3409</Characters>
  <Application>Microsoft Office Word</Application>
  <DocSecurity>0</DocSecurity>
  <Lines>28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Flinders University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2020-10-23T05:16:00Z</dcterms:created>
  <dc:creator>Helen Tsakonas</dc:creator>
  <cp:lastModifiedBy>Helen Tsakonas</cp:lastModifiedBy>
  <dcterms:modified xsi:type="dcterms:W3CDTF">2020-10-26T00:32:00Z</dcterms:modified>
  <cp:revision>4</cp:revision>
  <dc:title>End of year bulletin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ontentTypeId" pid="2">
    <vt:lpwstr>0x0101005309093399543F4589CCB1625CE30D80</vt:lpwstr>
  </property>
</Properties>
</file>